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7F2A97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72"/>
          <w:szCs w:val="72"/>
        </w:rPr>
        <w:t>junio</w:t>
      </w:r>
      <w:proofErr w:type="spellEnd"/>
      <w:proofErr w:type="gramEnd"/>
      <w:r w:rsidR="003D2DC5">
        <w:rPr>
          <w:rFonts w:ascii="Times New Roman" w:eastAsia="Times New Roman" w:hAnsi="Times New Roman" w:cs="Times New Roman"/>
          <w:sz w:val="72"/>
          <w:szCs w:val="72"/>
        </w:rPr>
        <w:t xml:space="preserve"> 2021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mayo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7F2A97" w:rsidRDefault="00617D27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2226310</wp:posOffset>
            </wp:positionH>
            <wp:positionV relativeFrom="page">
              <wp:posOffset>3577590</wp:posOffset>
            </wp:positionV>
            <wp:extent cx="4245610" cy="2838450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A97" w:rsidRPr="007F2A97">
        <w:drawing>
          <wp:inline distT="0" distB="0" distL="0" distR="0">
            <wp:extent cx="1526650" cy="3938766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50" cy="39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617D27">
      <w:r w:rsidRPr="00617D27"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63611</wp:posOffset>
            </wp:positionV>
            <wp:extent cx="2003845" cy="4889752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45" cy="488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617D27">
      <w:r>
        <w:rPr>
          <w:noProof/>
          <w:lang w:val="es-G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2265680</wp:posOffset>
            </wp:positionH>
            <wp:positionV relativeFrom="paragraph">
              <wp:posOffset>429895</wp:posOffset>
            </wp:positionV>
            <wp:extent cx="4243705" cy="2567940"/>
            <wp:effectExtent l="0" t="0" r="4445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617D27" w:rsidRDefault="00617D27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617D27">
      <w:r>
        <w:rPr>
          <w:noProof/>
          <w:lang w:val="es-G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2568244</wp:posOffset>
            </wp:positionH>
            <wp:positionV relativeFrom="paragraph">
              <wp:posOffset>541434</wp:posOffset>
            </wp:positionV>
            <wp:extent cx="3863975" cy="3315335"/>
            <wp:effectExtent l="0" t="0" r="3175" b="18415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D27">
        <w:drawing>
          <wp:inline distT="0" distB="0" distL="0" distR="0">
            <wp:extent cx="1808174" cy="4428876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73" cy="44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6F" w:rsidRDefault="008B696F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26" w:rsidRDefault="00BD2326">
      <w:pPr>
        <w:spacing w:after="0" w:line="240" w:lineRule="auto"/>
      </w:pPr>
      <w:r>
        <w:separator/>
      </w:r>
    </w:p>
  </w:endnote>
  <w:endnote w:type="continuationSeparator" w:id="0">
    <w:p w:rsidR="00BD2326" w:rsidRDefault="00BD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26" w:rsidRDefault="00BD2326">
      <w:pPr>
        <w:spacing w:after="0" w:line="240" w:lineRule="auto"/>
      </w:pPr>
      <w:r>
        <w:separator/>
      </w:r>
    </w:p>
  </w:footnote>
  <w:footnote w:type="continuationSeparator" w:id="0">
    <w:p w:rsidR="00BD2326" w:rsidRDefault="00BD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3D2DC5"/>
    <w:rsid w:val="00617D27"/>
    <w:rsid w:val="007F2A97"/>
    <w:rsid w:val="008B696F"/>
    <w:rsid w:val="00B57AEF"/>
    <w:rsid w:val="00B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chuta\Desktop\2021\informe%20sociolinguistico%20fotos\reporte%20unidad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Psicológica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Hoja1!$O$12:$O$38</c:f>
              <c:strCache>
                <c:ptCount val="27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  <c:pt idx="26">
                  <c:v>Total </c:v>
                </c:pt>
              </c:strCache>
            </c:strRef>
          </c:cat>
          <c:val>
            <c:numRef>
              <c:f>Hoja1!$P$12:$P$38</c:f>
              <c:numCache>
                <c:formatCode>General</c:formatCode>
                <c:ptCount val="27"/>
                <c:pt idx="0">
                  <c:v>17</c:v>
                </c:pt>
                <c:pt idx="1">
                  <c:v>68</c:v>
                </c:pt>
                <c:pt idx="2">
                  <c:v>34</c:v>
                </c:pt>
                <c:pt idx="3">
                  <c:v>13</c:v>
                </c:pt>
                <c:pt idx="4">
                  <c:v>8</c:v>
                </c:pt>
                <c:pt idx="5">
                  <c:v>1</c:v>
                </c:pt>
                <c:pt idx="6">
                  <c:v>19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18</c:v>
                </c:pt>
                <c:pt idx="24">
                  <c:v>0</c:v>
                </c:pt>
                <c:pt idx="25">
                  <c:v>34</c:v>
                </c:pt>
                <c:pt idx="26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4</cp:revision>
  <cp:lastPrinted>2021-07-09T18:59:00Z</cp:lastPrinted>
  <dcterms:created xsi:type="dcterms:W3CDTF">2021-06-17T14:40:00Z</dcterms:created>
  <dcterms:modified xsi:type="dcterms:W3CDTF">2021-07-09T18:59:00Z</dcterms:modified>
</cp:coreProperties>
</file>