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0B3BED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Octubre</w:t>
      </w:r>
      <w:proofErr w:type="spellEnd"/>
      <w:r w:rsidR="003D2DC5">
        <w:rPr>
          <w:rFonts w:ascii="Times New Roman" w:eastAsia="Times New Roman" w:hAnsi="Times New Roman" w:cs="Times New Roman"/>
          <w:sz w:val="72"/>
          <w:szCs w:val="72"/>
        </w:rPr>
        <w:t xml:space="preserve"> 2021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mayo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0B3BED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2428875</wp:posOffset>
            </wp:positionH>
            <wp:positionV relativeFrom="page">
              <wp:posOffset>3409950</wp:posOffset>
            </wp:positionV>
            <wp:extent cx="3838575" cy="2755900"/>
            <wp:effectExtent l="0" t="0" r="9525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0A4" w:rsidRDefault="000B3BED">
      <w:pPr>
        <w:ind w:firstLine="720"/>
        <w:jc w:val="both"/>
        <w:rPr>
          <w:noProof/>
          <w:lang w:val="es-GT"/>
        </w:rPr>
      </w:pPr>
      <w:r w:rsidRPr="000B3BED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6985</wp:posOffset>
            </wp:positionV>
            <wp:extent cx="2085975" cy="53721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0B3BED">
      <w:r>
        <w:rPr>
          <w:noProof/>
          <w:lang w:val="es-G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2419350</wp:posOffset>
            </wp:positionH>
            <wp:positionV relativeFrom="page">
              <wp:posOffset>1628775</wp:posOffset>
            </wp:positionV>
            <wp:extent cx="3914775" cy="26384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BED"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1428750</wp:posOffset>
            </wp:positionV>
            <wp:extent cx="2200275" cy="53721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617D27" w:rsidRDefault="00617D27"/>
    <w:p w:rsidR="000B3BED" w:rsidRDefault="000B3BED"/>
    <w:p w:rsidR="000B3BED" w:rsidRDefault="000B3BED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060A4" w:rsidRDefault="000B3BED">
      <w:r>
        <w:rPr>
          <w:noProof/>
          <w:lang w:val="es-GT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346075</wp:posOffset>
            </wp:positionV>
            <wp:extent cx="3810000" cy="231013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BED"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114300</wp:posOffset>
            </wp:positionH>
            <wp:positionV relativeFrom="page">
              <wp:posOffset>1781175</wp:posOffset>
            </wp:positionV>
            <wp:extent cx="2190750" cy="53721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A529E" w:rsidRDefault="008A529E"/>
    <w:p w:rsidR="008A529E" w:rsidRDefault="008A529E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/>
    <w:p w:rsidR="000B3BED" w:rsidRDefault="000B3BED">
      <w:bookmarkStart w:id="0" w:name="_GoBack"/>
      <w:bookmarkEnd w:id="0"/>
    </w:p>
    <w:p w:rsidR="000B3BED" w:rsidRDefault="000B3BED"/>
    <w:p w:rsidR="000B3BED" w:rsidRDefault="000B3BED"/>
    <w:p w:rsidR="000B3BED" w:rsidRDefault="000B3BED"/>
    <w:p w:rsidR="008A529E" w:rsidRDefault="008A529E"/>
    <w:p w:rsidR="008A529E" w:rsidRDefault="008A529E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03" w:rsidRDefault="005A3B03">
      <w:pPr>
        <w:spacing w:after="0" w:line="240" w:lineRule="auto"/>
      </w:pPr>
      <w:r>
        <w:separator/>
      </w:r>
    </w:p>
  </w:endnote>
  <w:endnote w:type="continuationSeparator" w:id="0">
    <w:p w:rsidR="005A3B03" w:rsidRDefault="005A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03" w:rsidRDefault="005A3B03">
      <w:pPr>
        <w:spacing w:after="0" w:line="240" w:lineRule="auto"/>
      </w:pPr>
      <w:r>
        <w:separator/>
      </w:r>
    </w:p>
  </w:footnote>
  <w:footnote w:type="continuationSeparator" w:id="0">
    <w:p w:rsidR="005A3B03" w:rsidRDefault="005A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3D2DC5"/>
    <w:rsid w:val="005A3B03"/>
    <w:rsid w:val="00617D27"/>
    <w:rsid w:val="006877BF"/>
    <w:rsid w:val="007F2A97"/>
    <w:rsid w:val="008060A4"/>
    <w:rsid w:val="008A529E"/>
    <w:rsid w:val="008B696F"/>
    <w:rsid w:val="00B4415F"/>
    <w:rsid w:val="00B57AEF"/>
    <w:rsid w:val="00BD2326"/>
    <w:rsid w:val="00EF6817"/>
    <w:rsid w:val="00F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8</cp:revision>
  <cp:lastPrinted>2021-07-09T18:59:00Z</cp:lastPrinted>
  <dcterms:created xsi:type="dcterms:W3CDTF">2021-06-17T14:40:00Z</dcterms:created>
  <dcterms:modified xsi:type="dcterms:W3CDTF">2021-11-09T17:35:00Z</dcterms:modified>
</cp:coreProperties>
</file>