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DB43C8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Junio</w:t>
      </w:r>
      <w:proofErr w:type="spellEnd"/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43C8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DB4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43C8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DB4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43C8">
        <w:rPr>
          <w:rFonts w:ascii="Times New Roman" w:eastAsia="Times New Roman" w:hAnsi="Times New Roman" w:cs="Times New Roman"/>
          <w:sz w:val="28"/>
          <w:szCs w:val="28"/>
        </w:rPr>
        <w:t>junio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8060A4" w:rsidRDefault="00DB43C8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2085975</wp:posOffset>
            </wp:positionH>
            <wp:positionV relativeFrom="page">
              <wp:posOffset>3754120</wp:posOffset>
            </wp:positionV>
            <wp:extent cx="4391025" cy="2315845"/>
            <wp:effectExtent l="0" t="0" r="952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C8"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-219075</wp:posOffset>
            </wp:positionH>
            <wp:positionV relativeFrom="page">
              <wp:posOffset>3486150</wp:posOffset>
            </wp:positionV>
            <wp:extent cx="2085975" cy="53721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DB43C8">
      <w:r w:rsidRPr="00DB43C8"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1771650</wp:posOffset>
            </wp:positionV>
            <wp:extent cx="2200275" cy="53721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DB43C8">
      <w:r>
        <w:rPr>
          <w:noProof/>
          <w:lang w:val="es-GT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445770</wp:posOffset>
            </wp:positionV>
            <wp:extent cx="3857625" cy="21590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DB43C8">
      <w:r w:rsidRPr="00DB43C8"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-76200</wp:posOffset>
            </wp:positionH>
            <wp:positionV relativeFrom="page">
              <wp:posOffset>1771650</wp:posOffset>
            </wp:positionV>
            <wp:extent cx="2190750" cy="53721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>
      <w:bookmarkStart w:id="0" w:name="_GoBack"/>
      <w:bookmarkEnd w:id="0"/>
    </w:p>
    <w:p w:rsidR="008E6250" w:rsidRDefault="008E6250"/>
    <w:p w:rsidR="008E6250" w:rsidRDefault="00DB43C8">
      <w:r>
        <w:rPr>
          <w:noProof/>
          <w:lang w:val="es-GT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461645</wp:posOffset>
            </wp:positionV>
            <wp:extent cx="3933825" cy="238506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B696F" w:rsidRDefault="008B696F"/>
    <w:p w:rsidR="008B696F" w:rsidRDefault="008B696F"/>
    <w:p w:rsidR="008B696F" w:rsidRDefault="008B696F"/>
    <w:p w:rsidR="009D294E" w:rsidRDefault="009D294E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F6" w:rsidRDefault="005346F6">
      <w:pPr>
        <w:spacing w:after="0" w:line="240" w:lineRule="auto"/>
      </w:pPr>
      <w:r>
        <w:separator/>
      </w:r>
    </w:p>
  </w:endnote>
  <w:endnote w:type="continuationSeparator" w:id="0">
    <w:p w:rsidR="005346F6" w:rsidRDefault="0053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F6" w:rsidRDefault="005346F6">
      <w:pPr>
        <w:spacing w:after="0" w:line="240" w:lineRule="auto"/>
      </w:pPr>
      <w:r>
        <w:separator/>
      </w:r>
    </w:p>
  </w:footnote>
  <w:footnote w:type="continuationSeparator" w:id="0">
    <w:p w:rsidR="005346F6" w:rsidRDefault="0053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1D6451"/>
    <w:rsid w:val="002E0DF8"/>
    <w:rsid w:val="002E118F"/>
    <w:rsid w:val="003D2DC5"/>
    <w:rsid w:val="005346F6"/>
    <w:rsid w:val="005A3B03"/>
    <w:rsid w:val="00617D27"/>
    <w:rsid w:val="00675FCE"/>
    <w:rsid w:val="006877BF"/>
    <w:rsid w:val="006B426C"/>
    <w:rsid w:val="006E5206"/>
    <w:rsid w:val="007D3236"/>
    <w:rsid w:val="007F2A97"/>
    <w:rsid w:val="00801EDF"/>
    <w:rsid w:val="008060A4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F30A2"/>
    <w:rsid w:val="00D01569"/>
    <w:rsid w:val="00D81366"/>
    <w:rsid w:val="00D853FC"/>
    <w:rsid w:val="00DB43C8"/>
    <w:rsid w:val="00E17637"/>
    <w:rsid w:val="00E36EC8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18</cp:revision>
  <cp:lastPrinted>2022-05-09T16:27:00Z</cp:lastPrinted>
  <dcterms:created xsi:type="dcterms:W3CDTF">2021-06-17T14:40:00Z</dcterms:created>
  <dcterms:modified xsi:type="dcterms:W3CDTF">2022-07-08T15:47:00Z</dcterms:modified>
</cp:coreProperties>
</file>